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EAD" w:rsidRPr="00A33A15" w:rsidRDefault="009F62B1" w:rsidP="00A33A15">
      <w:pPr>
        <w:spacing w:after="200" w:line="276" w:lineRule="auto"/>
        <w:rPr>
          <w:lang w:val="en-US"/>
        </w:rPr>
      </w:pPr>
      <w:r w:rsidRPr="009F62B1">
        <w:rPr>
          <w:noProof/>
          <w:lang w:val="en-GB" w:eastAsia="en-GB"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0.4pt;margin-top:20.8pt;width:249.75pt;height:58.4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nSIgIAAB0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" stroked="f">
            <v:textbox style="mso-fit-shape-to-text:t">
              <w:txbxContent>
                <w:p w:rsidR="00C66CF2" w:rsidRPr="00C66CF2" w:rsidRDefault="00C66CF2" w:rsidP="00C66CF2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66CF2">
                    <w:rPr>
                      <w:b/>
                      <w:bCs/>
                      <w:sz w:val="28"/>
                      <w:szCs w:val="28"/>
                      <w:lang w:val="en-US"/>
                    </w:rPr>
                    <w:t>Microfinance Centre</w:t>
                  </w:r>
                </w:p>
                <w:p w:rsidR="00C66CF2" w:rsidRPr="00C66CF2" w:rsidRDefault="00014766" w:rsidP="00C66CF2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Members’ </w:t>
                  </w:r>
                  <w:r w:rsidR="00C66CF2" w:rsidRPr="00C66CF2">
                    <w:rPr>
                      <w:b/>
                      <w:bCs/>
                      <w:sz w:val="28"/>
                      <w:szCs w:val="28"/>
                      <w:lang w:val="en-US"/>
                    </w:rPr>
                    <w:t>Client Protection Roadmap</w:t>
                  </w:r>
                </w:p>
                <w:p w:rsidR="00C66CF2" w:rsidRPr="00C66CF2" w:rsidRDefault="00C66CF2" w:rsidP="00C66CF2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C66CF2">
                    <w:rPr>
                      <w:b/>
                      <w:bCs/>
                      <w:sz w:val="28"/>
                      <w:szCs w:val="28"/>
                      <w:lang w:val="en-US"/>
                    </w:rPr>
                    <w:t>Memorandum of Understanding</w:t>
                  </w:r>
                </w:p>
              </w:txbxContent>
            </v:textbox>
          </v:shape>
        </w:pict>
      </w:r>
      <w:r w:rsidR="00532EAD" w:rsidRPr="00532EAD">
        <w:rPr>
          <w:noProof/>
        </w:rPr>
        <w:drawing>
          <wp:inline distT="0" distB="0" distL="0" distR="0">
            <wp:extent cx="2479442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ite_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50" cy="98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EAD" w:rsidRPr="00532EAD" w:rsidRDefault="00532EAD" w:rsidP="00FB7AC0">
      <w:pPr>
        <w:spacing w:line="276" w:lineRule="auto"/>
        <w:jc w:val="both"/>
        <w:rPr>
          <w:lang w:val="en-US"/>
        </w:rPr>
      </w:pPr>
    </w:p>
    <w:p w:rsidR="00532EAD" w:rsidRPr="00532EAD" w:rsidRDefault="00C66CF2" w:rsidP="00FB7AC0">
      <w:pPr>
        <w:pBdr>
          <w:bottom w:val="single" w:sz="4" w:space="1" w:color="auto"/>
        </w:pBdr>
        <w:spacing w:line="276" w:lineRule="auto"/>
        <w:jc w:val="both"/>
        <w:rPr>
          <w:b/>
          <w:bCs/>
          <w:color w:val="336600"/>
          <w:sz w:val="28"/>
          <w:szCs w:val="28"/>
          <w:lang w:val="en-US"/>
        </w:rPr>
      </w:pPr>
      <w:r>
        <w:rPr>
          <w:b/>
          <w:bCs/>
          <w:color w:val="336600"/>
          <w:sz w:val="28"/>
          <w:szCs w:val="28"/>
          <w:lang w:val="en-US"/>
        </w:rPr>
        <w:t>Our vision</w:t>
      </w:r>
    </w:p>
    <w:p w:rsidR="00532EAD" w:rsidRPr="00532EAD" w:rsidRDefault="00532EAD" w:rsidP="00FB7AC0">
      <w:pPr>
        <w:spacing w:line="276" w:lineRule="auto"/>
        <w:jc w:val="both"/>
        <w:rPr>
          <w:lang w:val="en-US"/>
        </w:rPr>
      </w:pPr>
    </w:p>
    <w:p w:rsidR="00FC07AC" w:rsidRDefault="00532EAD" w:rsidP="00FB7AC0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6857DF" w:rsidRPr="00532EAD">
        <w:rPr>
          <w:lang w:val="en-US"/>
        </w:rPr>
        <w:t xml:space="preserve">Microfinance Centre </w:t>
      </w:r>
      <w:r>
        <w:rPr>
          <w:lang w:val="en-US"/>
        </w:rPr>
        <w:t xml:space="preserve">is </w:t>
      </w:r>
      <w:r w:rsidR="00DD595A" w:rsidRPr="00532EAD">
        <w:rPr>
          <w:lang w:val="en-US"/>
        </w:rPr>
        <w:t xml:space="preserve">a </w:t>
      </w:r>
      <w:r>
        <w:rPr>
          <w:lang w:val="en-US"/>
        </w:rPr>
        <w:t xml:space="preserve">regional </w:t>
      </w:r>
      <w:r w:rsidR="00DD595A" w:rsidRPr="00532EAD">
        <w:rPr>
          <w:lang w:val="en-US"/>
        </w:rPr>
        <w:t xml:space="preserve">network </w:t>
      </w:r>
      <w:r>
        <w:rPr>
          <w:lang w:val="en-US"/>
        </w:rPr>
        <w:t xml:space="preserve">uniting organizations who strive to be industry </w:t>
      </w:r>
      <w:r w:rsidR="00DD595A" w:rsidRPr="00532EAD">
        <w:rPr>
          <w:lang w:val="en-US"/>
        </w:rPr>
        <w:t xml:space="preserve">leaders in </w:t>
      </w:r>
      <w:r>
        <w:rPr>
          <w:lang w:val="en-US"/>
        </w:rPr>
        <w:t xml:space="preserve">good practice microfinance, serving as an important </w:t>
      </w:r>
      <w:r w:rsidR="00DD595A" w:rsidRPr="00532EAD">
        <w:rPr>
          <w:lang w:val="en-US"/>
        </w:rPr>
        <w:t>example for the rest of the sector</w:t>
      </w:r>
      <w:r>
        <w:rPr>
          <w:lang w:val="en-US"/>
        </w:rPr>
        <w:t>,</w:t>
      </w:r>
      <w:r w:rsidR="00DD595A" w:rsidRPr="00532EAD">
        <w:rPr>
          <w:lang w:val="en-US"/>
        </w:rPr>
        <w:t xml:space="preserve"> </w:t>
      </w:r>
      <w:r>
        <w:rPr>
          <w:lang w:val="en-US"/>
        </w:rPr>
        <w:t xml:space="preserve">both </w:t>
      </w:r>
      <w:r w:rsidR="00DD595A" w:rsidRPr="00532EAD">
        <w:rPr>
          <w:lang w:val="en-US"/>
        </w:rPr>
        <w:t>region</w:t>
      </w:r>
      <w:r>
        <w:rPr>
          <w:lang w:val="en-US"/>
        </w:rPr>
        <w:t>ally and globally.</w:t>
      </w:r>
      <w:r w:rsidR="00DD595A" w:rsidRPr="00532EAD">
        <w:rPr>
          <w:lang w:val="en-US"/>
        </w:rPr>
        <w:t xml:space="preserve"> </w:t>
      </w:r>
      <w:r w:rsidR="00C66CF2">
        <w:rPr>
          <w:lang w:val="en-US"/>
        </w:rPr>
        <w:t>We commit ourselves to promoting</w:t>
      </w:r>
      <w:r w:rsidR="006857DF" w:rsidRPr="00532EAD">
        <w:rPr>
          <w:lang w:val="en-US"/>
        </w:rPr>
        <w:t xml:space="preserve"> and implement</w:t>
      </w:r>
      <w:r w:rsidR="00C66CF2">
        <w:rPr>
          <w:lang w:val="en-US"/>
        </w:rPr>
        <w:t>ing</w:t>
      </w:r>
      <w:r w:rsidR="006857DF" w:rsidRPr="00532EAD">
        <w:rPr>
          <w:lang w:val="en-US"/>
        </w:rPr>
        <w:t xml:space="preserve"> </w:t>
      </w:r>
      <w:r w:rsidR="00C66CF2">
        <w:rPr>
          <w:lang w:val="en-US"/>
        </w:rPr>
        <w:t xml:space="preserve">the </w:t>
      </w:r>
      <w:r w:rsidR="006857DF" w:rsidRPr="00532EAD">
        <w:rPr>
          <w:lang w:val="en-US"/>
        </w:rPr>
        <w:t>Client Protection Principles</w:t>
      </w:r>
      <w:r w:rsidR="00742CEC">
        <w:rPr>
          <w:lang w:val="en-US"/>
        </w:rPr>
        <w:t xml:space="preserve"> (CPPs)</w:t>
      </w:r>
      <w:r w:rsidR="00C66CF2">
        <w:rPr>
          <w:lang w:val="en-US"/>
        </w:rPr>
        <w:t xml:space="preserve">, which are the </w:t>
      </w:r>
      <w:r w:rsidR="006857DF" w:rsidRPr="00532EAD">
        <w:rPr>
          <w:lang w:val="en-US"/>
        </w:rPr>
        <w:t>minimum standards that clients should expect when doing business with a microfinance institution.</w:t>
      </w:r>
      <w:r w:rsidR="00C66CF2">
        <w:rPr>
          <w:lang w:val="en-US"/>
        </w:rPr>
        <w:t xml:space="preserve"> </w:t>
      </w:r>
    </w:p>
    <w:p w:rsidR="00C66CF2" w:rsidRDefault="00C66CF2" w:rsidP="00FB7AC0">
      <w:pPr>
        <w:spacing w:line="276" w:lineRule="auto"/>
        <w:jc w:val="both"/>
        <w:rPr>
          <w:lang w:val="en-US"/>
        </w:rPr>
      </w:pPr>
    </w:p>
    <w:p w:rsidR="00C66CF2" w:rsidRPr="00532EAD" w:rsidRDefault="00C66CF2" w:rsidP="00FB7AC0">
      <w:pPr>
        <w:pBdr>
          <w:bottom w:val="single" w:sz="4" w:space="1" w:color="auto"/>
        </w:pBdr>
        <w:spacing w:line="276" w:lineRule="auto"/>
        <w:jc w:val="both"/>
        <w:rPr>
          <w:b/>
          <w:bCs/>
          <w:color w:val="336600"/>
          <w:sz w:val="28"/>
          <w:szCs w:val="28"/>
          <w:lang w:val="en-US"/>
        </w:rPr>
      </w:pPr>
      <w:r>
        <w:rPr>
          <w:b/>
          <w:bCs/>
          <w:color w:val="336600"/>
          <w:sz w:val="28"/>
          <w:szCs w:val="28"/>
          <w:lang w:val="en-US"/>
        </w:rPr>
        <w:t>Member responsibilities</w:t>
      </w:r>
    </w:p>
    <w:p w:rsidR="00C66CF2" w:rsidRPr="00532EAD" w:rsidRDefault="00C66CF2" w:rsidP="00FB7AC0">
      <w:pPr>
        <w:spacing w:line="276" w:lineRule="auto"/>
        <w:jc w:val="both"/>
        <w:rPr>
          <w:lang w:val="en-US"/>
        </w:rPr>
      </w:pPr>
    </w:p>
    <w:p w:rsidR="00C66CF2" w:rsidRPr="00532EAD" w:rsidRDefault="00742CEC" w:rsidP="00FB7AC0">
      <w:pPr>
        <w:spacing w:line="276" w:lineRule="auto"/>
        <w:jc w:val="both"/>
        <w:rPr>
          <w:lang w:val="en-US"/>
        </w:rPr>
      </w:pPr>
      <w:r>
        <w:rPr>
          <w:lang w:val="en-US"/>
        </w:rPr>
        <w:t>By committing to be a part of the MFC Client Protection Roadmap, members agree to:</w:t>
      </w:r>
    </w:p>
    <w:p w:rsidR="006857DF" w:rsidRPr="00532EAD" w:rsidRDefault="006857DF" w:rsidP="00FB7AC0">
      <w:pPr>
        <w:spacing w:line="276" w:lineRule="auto"/>
        <w:jc w:val="both"/>
        <w:rPr>
          <w:b/>
          <w:lang w:val="en-US"/>
        </w:rPr>
      </w:pPr>
    </w:p>
    <w:p w:rsidR="00DD595A" w:rsidRPr="00532EAD" w:rsidRDefault="00742CEC" w:rsidP="000C145C">
      <w:pPr>
        <w:spacing w:line="276" w:lineRule="auto"/>
        <w:rPr>
          <w:b/>
          <w:lang w:val="en-US"/>
        </w:rPr>
      </w:pPr>
      <w:r>
        <w:rPr>
          <w:b/>
          <w:lang w:val="en-US"/>
        </w:rPr>
        <w:t>F</w:t>
      </w:r>
      <w:r w:rsidR="00DD595A" w:rsidRPr="00532EAD">
        <w:rPr>
          <w:b/>
          <w:lang w:val="en-US"/>
        </w:rPr>
        <w:t xml:space="preserve">inancial </w:t>
      </w:r>
      <w:r w:rsidR="00A33A15">
        <w:rPr>
          <w:b/>
          <w:lang w:val="en-US"/>
        </w:rPr>
        <w:t xml:space="preserve">service </w:t>
      </w:r>
      <w:r w:rsidR="00DD595A" w:rsidRPr="00532EAD">
        <w:rPr>
          <w:b/>
          <w:lang w:val="en-US"/>
        </w:rPr>
        <w:t>providers:</w:t>
      </w:r>
    </w:p>
    <w:p w:rsidR="00DD595A" w:rsidRPr="00742CEC" w:rsidRDefault="00742CEC" w:rsidP="000C14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lang w:val="en-US"/>
        </w:rPr>
      </w:pPr>
      <w:r>
        <w:rPr>
          <w:lang w:val="en-US"/>
        </w:rPr>
        <w:t xml:space="preserve">Endorse the </w:t>
      </w:r>
      <w:r w:rsidR="00DD595A" w:rsidRPr="00742CEC">
        <w:rPr>
          <w:lang w:val="en-US"/>
        </w:rPr>
        <w:t>CPPs </w:t>
      </w:r>
      <w:r>
        <w:rPr>
          <w:lang w:val="en-US"/>
        </w:rPr>
        <w:t>, conduct</w:t>
      </w:r>
      <w:r w:rsidR="00DD595A" w:rsidRPr="00742CEC">
        <w:rPr>
          <w:lang w:val="en-US"/>
        </w:rPr>
        <w:t xml:space="preserve"> </w:t>
      </w:r>
      <w:r>
        <w:rPr>
          <w:lang w:val="en-US"/>
        </w:rPr>
        <w:t xml:space="preserve">a CPP </w:t>
      </w:r>
      <w:r w:rsidR="00DD595A" w:rsidRPr="00742CEC">
        <w:rPr>
          <w:lang w:val="en-US"/>
        </w:rPr>
        <w:t xml:space="preserve">self-assessment </w:t>
      </w:r>
      <w:r w:rsidR="003E7326" w:rsidRPr="00742CEC">
        <w:rPr>
          <w:b/>
          <w:bCs/>
          <w:lang w:val="en-US"/>
        </w:rPr>
        <w:t xml:space="preserve">by September </w:t>
      </w:r>
      <w:r w:rsidR="00DD595A" w:rsidRPr="00742CEC">
        <w:rPr>
          <w:b/>
          <w:bCs/>
          <w:lang w:val="en-US"/>
        </w:rPr>
        <w:t xml:space="preserve"> 2014</w:t>
      </w:r>
      <w:r w:rsidR="0051410A">
        <w:rPr>
          <w:b/>
          <w:bCs/>
          <w:lang w:val="en-US"/>
        </w:rPr>
        <w:t xml:space="preserve"> </w:t>
      </w:r>
      <w:r w:rsidR="0051410A" w:rsidRPr="00014766">
        <w:rPr>
          <w:bCs/>
          <w:lang w:val="en-US"/>
        </w:rPr>
        <w:t>(</w:t>
      </w:r>
      <w:r w:rsidR="00A33A15">
        <w:rPr>
          <w:bCs/>
          <w:lang w:val="en-US"/>
        </w:rPr>
        <w:t xml:space="preserve">if you’ve not completed a </w:t>
      </w:r>
      <w:r w:rsidR="00300083">
        <w:rPr>
          <w:bCs/>
          <w:lang w:val="en-US"/>
        </w:rPr>
        <w:t>CP assessment</w:t>
      </w:r>
      <w:r w:rsidR="00014766">
        <w:rPr>
          <w:bCs/>
          <w:lang w:val="en-US"/>
        </w:rPr>
        <w:t xml:space="preserve"> within the </w:t>
      </w:r>
      <w:r w:rsidR="00A33A15">
        <w:rPr>
          <w:bCs/>
          <w:lang w:val="en-US"/>
        </w:rPr>
        <w:t>l</w:t>
      </w:r>
      <w:r w:rsidR="00014766">
        <w:rPr>
          <w:bCs/>
          <w:lang w:val="en-US"/>
        </w:rPr>
        <w:t xml:space="preserve">ast </w:t>
      </w:r>
      <w:r w:rsidR="0051410A" w:rsidRPr="00014766">
        <w:rPr>
          <w:bCs/>
          <w:lang w:val="en-US"/>
        </w:rPr>
        <w:t>two years)</w:t>
      </w:r>
      <w:r>
        <w:rPr>
          <w:lang w:val="en-US"/>
        </w:rPr>
        <w:t>,</w:t>
      </w:r>
      <w:r w:rsidR="00DD595A" w:rsidRPr="00742CEC">
        <w:rPr>
          <w:lang w:val="en-US"/>
        </w:rPr>
        <w:t xml:space="preserve"> </w:t>
      </w:r>
      <w:r>
        <w:rPr>
          <w:lang w:val="en-US"/>
        </w:rPr>
        <w:t xml:space="preserve">and commit to implement the resulting action plan </w:t>
      </w:r>
      <w:r w:rsidR="00DD595A" w:rsidRPr="00742CEC">
        <w:rPr>
          <w:lang w:val="en-US"/>
        </w:rPr>
        <w:t xml:space="preserve">within the next 5 years </w:t>
      </w:r>
    </w:p>
    <w:p w:rsidR="00DD595A" w:rsidRPr="00742CEC" w:rsidRDefault="00742CEC" w:rsidP="000C14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lang w:val="en-US"/>
        </w:rPr>
      </w:pPr>
      <w:r>
        <w:rPr>
          <w:lang w:val="en-US"/>
        </w:rPr>
        <w:t>Develop and share their</w:t>
      </w:r>
      <w:r w:rsidR="00DD595A" w:rsidRPr="00742CEC">
        <w:rPr>
          <w:lang w:val="en-US"/>
        </w:rPr>
        <w:t xml:space="preserve"> </w:t>
      </w:r>
      <w:r>
        <w:rPr>
          <w:lang w:val="en-US"/>
        </w:rPr>
        <w:t xml:space="preserve">action </w:t>
      </w:r>
      <w:r w:rsidR="00DD595A" w:rsidRPr="00742CEC">
        <w:rPr>
          <w:lang w:val="en-US"/>
        </w:rPr>
        <w:t xml:space="preserve">plan with the MFC </w:t>
      </w:r>
      <w:r w:rsidR="009D68E5" w:rsidRPr="00742CEC">
        <w:rPr>
          <w:b/>
          <w:bCs/>
          <w:lang w:val="en-US"/>
        </w:rPr>
        <w:t xml:space="preserve">by October </w:t>
      </w:r>
      <w:r w:rsidRPr="00742CEC">
        <w:rPr>
          <w:b/>
          <w:bCs/>
          <w:lang w:val="en-US"/>
        </w:rPr>
        <w:t>2014</w:t>
      </w:r>
    </w:p>
    <w:p w:rsidR="00DD595A" w:rsidRPr="00742CEC" w:rsidRDefault="00742CEC" w:rsidP="000C145C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lang w:val="en-US"/>
        </w:rPr>
      </w:pPr>
      <w:r>
        <w:rPr>
          <w:lang w:val="en-US"/>
        </w:rPr>
        <w:t xml:space="preserve">Take the first steps </w:t>
      </w:r>
      <w:r w:rsidR="008F09DD">
        <w:rPr>
          <w:lang w:val="en-US"/>
        </w:rPr>
        <w:t>to address</w:t>
      </w:r>
      <w:r>
        <w:rPr>
          <w:lang w:val="en-US"/>
        </w:rPr>
        <w:t xml:space="preserve"> their client protection gaps (described in the action plan)</w:t>
      </w:r>
      <w:r w:rsidR="00DD595A" w:rsidRPr="00742CEC">
        <w:rPr>
          <w:lang w:val="en-US"/>
        </w:rPr>
        <w:t xml:space="preserve"> </w:t>
      </w:r>
      <w:r w:rsidRPr="00742CEC">
        <w:rPr>
          <w:b/>
          <w:bCs/>
          <w:lang w:val="en-US"/>
        </w:rPr>
        <w:t xml:space="preserve">throughout </w:t>
      </w:r>
      <w:r w:rsidR="00DD595A" w:rsidRPr="00742CEC">
        <w:rPr>
          <w:b/>
          <w:bCs/>
          <w:lang w:val="en-US"/>
        </w:rPr>
        <w:t>2015</w:t>
      </w:r>
      <w:r w:rsidR="00DD595A" w:rsidRPr="00742CEC">
        <w:rPr>
          <w:lang w:val="en-US"/>
        </w:rPr>
        <w:t xml:space="preserve"> </w:t>
      </w:r>
    </w:p>
    <w:p w:rsidR="009F62B1" w:rsidRDefault="00D2439E">
      <w:pPr>
        <w:pStyle w:val="Akapitzlist"/>
        <w:numPr>
          <w:ilvl w:val="0"/>
          <w:numId w:val="3"/>
        </w:numPr>
        <w:spacing w:line="276" w:lineRule="auto"/>
        <w:ind w:left="709" w:hanging="283"/>
        <w:rPr>
          <w:lang w:val="en-US"/>
        </w:rPr>
      </w:pPr>
      <w:r>
        <w:rPr>
          <w:lang w:val="en-US"/>
        </w:rPr>
        <w:t>Be complaint with CP standards</w:t>
      </w:r>
      <w:r w:rsidR="00DD595A" w:rsidRPr="00742CEC">
        <w:rPr>
          <w:lang w:val="en-US"/>
        </w:rPr>
        <w:t xml:space="preserve"> </w:t>
      </w:r>
      <w:r w:rsidR="00DD595A" w:rsidRPr="008F09DD">
        <w:rPr>
          <w:b/>
          <w:bCs/>
          <w:lang w:val="en-US"/>
        </w:rPr>
        <w:t>by 2018</w:t>
      </w:r>
      <w:r w:rsidR="00DD595A" w:rsidRPr="00742CEC">
        <w:rPr>
          <w:lang w:val="en-US"/>
        </w:rPr>
        <w:t xml:space="preserve"> </w:t>
      </w:r>
    </w:p>
    <w:p w:rsidR="00DD595A" w:rsidRPr="00D2439E" w:rsidRDefault="00FA363C" w:rsidP="000C145C">
      <w:pPr>
        <w:spacing w:line="276" w:lineRule="auto"/>
        <w:rPr>
          <w:b/>
          <w:lang w:val="en-US"/>
        </w:rPr>
      </w:pPr>
      <w:r>
        <w:rPr>
          <w:b/>
          <w:lang w:val="en-US"/>
        </w:rPr>
        <w:t>Investors:</w:t>
      </w:r>
    </w:p>
    <w:p w:rsidR="00DD595A" w:rsidRPr="00FB7AC0" w:rsidRDefault="00FA363C" w:rsidP="000C145C">
      <w:pPr>
        <w:pStyle w:val="Akapitzlist"/>
        <w:numPr>
          <w:ilvl w:val="0"/>
          <w:numId w:val="7"/>
        </w:numPr>
        <w:spacing w:line="276" w:lineRule="auto"/>
        <w:rPr>
          <w:rStyle w:val="Pogrubienie"/>
          <w:bCs w:val="0"/>
          <w:lang w:val="en-US"/>
        </w:rPr>
      </w:pPr>
      <w:r>
        <w:rPr>
          <w:lang w:val="en-US"/>
        </w:rPr>
        <w:t xml:space="preserve">Endorse the </w:t>
      </w:r>
      <w:r>
        <w:rPr>
          <w:rStyle w:val="Pogrubienie"/>
          <w:b w:val="0"/>
          <w:lang w:val="en-US"/>
        </w:rPr>
        <w:t>Principles for Investors in Inclu</w:t>
      </w:r>
      <w:r w:rsidRPr="00FA363C">
        <w:rPr>
          <w:rStyle w:val="Pogrubienie"/>
          <w:lang w:val="en-US"/>
        </w:rPr>
        <w:t>sive Fi</w:t>
      </w:r>
      <w:r>
        <w:rPr>
          <w:rStyle w:val="Pogrubienie"/>
          <w:b w:val="0"/>
          <w:lang w:val="en-US"/>
        </w:rPr>
        <w:t>na</w:t>
      </w:r>
      <w:r w:rsidR="008F09DD" w:rsidRPr="00FB7AC0">
        <w:rPr>
          <w:rStyle w:val="Pogrubienie"/>
          <w:b w:val="0"/>
          <w:lang w:val="en-US"/>
        </w:rPr>
        <w:t>nce (PIIF), conduct</w:t>
      </w:r>
      <w:r w:rsidR="00DD595A" w:rsidRPr="00FB7AC0">
        <w:rPr>
          <w:rStyle w:val="Pogrubienie"/>
          <w:b w:val="0"/>
          <w:lang w:val="en-US"/>
        </w:rPr>
        <w:t xml:space="preserve"> </w:t>
      </w:r>
      <w:r w:rsidR="008F09DD" w:rsidRPr="00FB7AC0">
        <w:rPr>
          <w:rStyle w:val="Pogrubienie"/>
          <w:b w:val="0"/>
          <w:lang w:val="en-US"/>
        </w:rPr>
        <w:t xml:space="preserve">a </w:t>
      </w:r>
      <w:r w:rsidR="00DD595A" w:rsidRPr="00FB7AC0">
        <w:rPr>
          <w:rStyle w:val="Pogrubienie"/>
          <w:b w:val="0"/>
          <w:lang w:val="en-US"/>
        </w:rPr>
        <w:t xml:space="preserve">self-assessment </w:t>
      </w:r>
      <w:r w:rsidR="008F09DD" w:rsidRPr="00FB7AC0">
        <w:rPr>
          <w:rStyle w:val="Pogrubienie"/>
          <w:b w:val="0"/>
          <w:lang w:val="en-US"/>
        </w:rPr>
        <w:t xml:space="preserve">by </w:t>
      </w:r>
      <w:r w:rsidR="00300083">
        <w:rPr>
          <w:rStyle w:val="Pogrubienie"/>
          <w:b w:val="0"/>
          <w:lang w:val="en-US"/>
        </w:rPr>
        <w:t>September</w:t>
      </w:r>
      <w:r w:rsidR="00300083" w:rsidRPr="00FB7AC0">
        <w:rPr>
          <w:rStyle w:val="Pogrubienie"/>
          <w:b w:val="0"/>
          <w:lang w:val="en-US"/>
        </w:rPr>
        <w:t xml:space="preserve"> </w:t>
      </w:r>
      <w:r w:rsidR="00DD595A" w:rsidRPr="00FB7AC0">
        <w:rPr>
          <w:rStyle w:val="Pogrubienie"/>
          <w:b w:val="0"/>
          <w:lang w:val="en-US"/>
        </w:rPr>
        <w:t xml:space="preserve">2014 and </w:t>
      </w:r>
      <w:r w:rsidR="008F09DD" w:rsidRPr="00FB7AC0">
        <w:rPr>
          <w:rStyle w:val="Pogrubienie"/>
          <w:b w:val="0"/>
          <w:lang w:val="en-US"/>
        </w:rPr>
        <w:t>implement their action plan</w:t>
      </w:r>
      <w:r w:rsidR="00DD595A" w:rsidRPr="00FB7AC0">
        <w:rPr>
          <w:rStyle w:val="Pogrubienie"/>
          <w:b w:val="0"/>
          <w:lang w:val="en-US"/>
        </w:rPr>
        <w:t xml:space="preserve"> </w:t>
      </w:r>
      <w:r w:rsidR="009501CE" w:rsidRPr="00FB7AC0">
        <w:rPr>
          <w:rStyle w:val="Pogrubienie"/>
          <w:bCs w:val="0"/>
          <w:lang w:val="en-US"/>
        </w:rPr>
        <w:t>from 2015 onwards</w:t>
      </w:r>
      <w:r w:rsidR="00DD595A" w:rsidRPr="00FB7AC0">
        <w:rPr>
          <w:rStyle w:val="Pogrubienie"/>
          <w:b w:val="0"/>
          <w:lang w:val="en-US"/>
        </w:rPr>
        <w:t xml:space="preserve"> </w:t>
      </w:r>
    </w:p>
    <w:p w:rsidR="00DD595A" w:rsidRPr="00FB7AC0" w:rsidRDefault="008F09DD" w:rsidP="000C145C">
      <w:pPr>
        <w:pStyle w:val="Akapitzlist"/>
        <w:numPr>
          <w:ilvl w:val="0"/>
          <w:numId w:val="7"/>
        </w:numPr>
        <w:spacing w:line="276" w:lineRule="auto"/>
        <w:rPr>
          <w:lang w:val="en-US"/>
        </w:rPr>
      </w:pPr>
      <w:r w:rsidRPr="00FB7AC0">
        <w:rPr>
          <w:lang w:val="en-US"/>
        </w:rPr>
        <w:t>E</w:t>
      </w:r>
      <w:r w:rsidR="00DD595A" w:rsidRPr="00FB7AC0">
        <w:rPr>
          <w:lang w:val="en-US"/>
        </w:rPr>
        <w:t xml:space="preserve">xplore possible non-financial (e.g. presentation to </w:t>
      </w:r>
      <w:r w:rsidRPr="00FB7AC0">
        <w:rPr>
          <w:lang w:val="en-US"/>
        </w:rPr>
        <w:t xml:space="preserve">investees’ </w:t>
      </w:r>
      <w:r w:rsidR="00DD595A" w:rsidRPr="00FB7AC0">
        <w:rPr>
          <w:lang w:val="en-US"/>
        </w:rPr>
        <w:t>Boards</w:t>
      </w:r>
      <w:r w:rsidRPr="00FB7AC0">
        <w:rPr>
          <w:lang w:val="en-US"/>
        </w:rPr>
        <w:t>) and financial (</w:t>
      </w:r>
      <w:r w:rsidR="00DD595A" w:rsidRPr="00FB7AC0">
        <w:rPr>
          <w:lang w:val="en-US"/>
        </w:rPr>
        <w:t xml:space="preserve">co-financing) support to investees towards their gradual adoption of CPPs </w:t>
      </w:r>
      <w:r w:rsidR="00DD595A" w:rsidRPr="00FB7AC0">
        <w:rPr>
          <w:b/>
          <w:bCs/>
          <w:lang w:val="en-US"/>
        </w:rPr>
        <w:t>from 2014 onward</w:t>
      </w:r>
    </w:p>
    <w:p w:rsidR="00FB7AC0" w:rsidRPr="00FB7AC0" w:rsidRDefault="00FB7AC0" w:rsidP="000C145C">
      <w:pPr>
        <w:pStyle w:val="Akapitzlist"/>
        <w:numPr>
          <w:ilvl w:val="0"/>
          <w:numId w:val="7"/>
        </w:numPr>
        <w:spacing w:line="276" w:lineRule="auto"/>
        <w:rPr>
          <w:rStyle w:val="Pogrubienie"/>
          <w:b w:val="0"/>
          <w:bCs w:val="0"/>
          <w:lang w:val="en-US"/>
        </w:rPr>
      </w:pPr>
      <w:r w:rsidRPr="00FB7AC0">
        <w:rPr>
          <w:lang w:val="en-US"/>
        </w:rPr>
        <w:t xml:space="preserve">Develop and share their action plan with the MFC </w:t>
      </w:r>
      <w:r w:rsidRPr="00FB7AC0">
        <w:rPr>
          <w:b/>
          <w:bCs/>
          <w:lang w:val="en-US"/>
        </w:rPr>
        <w:t>by October 2014</w:t>
      </w:r>
    </w:p>
    <w:p w:rsidR="00DD595A" w:rsidRPr="00FB7AC0" w:rsidRDefault="008F09DD" w:rsidP="000C145C">
      <w:pPr>
        <w:pStyle w:val="Akapitzlist"/>
        <w:numPr>
          <w:ilvl w:val="0"/>
          <w:numId w:val="7"/>
        </w:numPr>
        <w:spacing w:line="276" w:lineRule="auto"/>
        <w:rPr>
          <w:lang w:val="en-US"/>
        </w:rPr>
      </w:pPr>
      <w:r w:rsidRPr="00FB7AC0">
        <w:rPr>
          <w:lang w:val="en-US"/>
        </w:rPr>
        <w:t>Deliver</w:t>
      </w:r>
      <w:r w:rsidR="00DD595A" w:rsidRPr="00FB7AC0">
        <w:rPr>
          <w:lang w:val="en-US"/>
        </w:rPr>
        <w:t xml:space="preserve"> non-financial and/or financial support to investees </w:t>
      </w:r>
      <w:r w:rsidRPr="00FB7AC0">
        <w:rPr>
          <w:lang w:val="en-US"/>
        </w:rPr>
        <w:t xml:space="preserve">to support CPP </w:t>
      </w:r>
      <w:r w:rsidR="00DD595A" w:rsidRPr="00FB7AC0">
        <w:rPr>
          <w:lang w:val="en-US"/>
        </w:rPr>
        <w:t xml:space="preserve">adoption </w:t>
      </w:r>
      <w:r w:rsidR="00DD595A" w:rsidRPr="00FB7AC0">
        <w:rPr>
          <w:b/>
          <w:bCs/>
          <w:lang w:val="en-US"/>
        </w:rPr>
        <w:t>from 201</w:t>
      </w:r>
      <w:r w:rsidR="009501CE" w:rsidRPr="00FB7AC0">
        <w:rPr>
          <w:b/>
          <w:bCs/>
          <w:lang w:val="en-US"/>
        </w:rPr>
        <w:t>5</w:t>
      </w:r>
      <w:r w:rsidR="00DD595A" w:rsidRPr="00FB7AC0">
        <w:rPr>
          <w:b/>
          <w:bCs/>
          <w:lang w:val="en-US"/>
        </w:rPr>
        <w:t xml:space="preserve"> onwards</w:t>
      </w:r>
      <w:r w:rsidRPr="00FB7AC0">
        <w:rPr>
          <w:b/>
          <w:bCs/>
          <w:lang w:val="en-US"/>
        </w:rPr>
        <w:t>.</w:t>
      </w:r>
    </w:p>
    <w:p w:rsidR="00DD595A" w:rsidRPr="00532EAD" w:rsidRDefault="00DD595A" w:rsidP="000C145C">
      <w:pPr>
        <w:spacing w:line="276" w:lineRule="auto"/>
        <w:ind w:left="720"/>
        <w:rPr>
          <w:lang w:val="en-US"/>
        </w:rPr>
      </w:pPr>
    </w:p>
    <w:p w:rsidR="00DD595A" w:rsidRPr="00532EAD" w:rsidRDefault="008F09DD" w:rsidP="000C145C">
      <w:pPr>
        <w:spacing w:line="276" w:lineRule="auto"/>
        <w:rPr>
          <w:b/>
          <w:lang w:val="en-US"/>
        </w:rPr>
      </w:pPr>
      <w:r>
        <w:rPr>
          <w:b/>
          <w:lang w:val="en-US"/>
        </w:rPr>
        <w:t>N</w:t>
      </w:r>
      <w:r w:rsidR="00DD595A" w:rsidRPr="00532EAD">
        <w:rPr>
          <w:b/>
          <w:lang w:val="en-US"/>
        </w:rPr>
        <w:t xml:space="preserve">etworks, </w:t>
      </w:r>
      <w:r>
        <w:rPr>
          <w:b/>
          <w:lang w:val="en-US"/>
        </w:rPr>
        <w:t xml:space="preserve">technical assistance </w:t>
      </w:r>
      <w:r w:rsidR="00DD595A" w:rsidRPr="00532EAD">
        <w:rPr>
          <w:b/>
          <w:lang w:val="en-US"/>
        </w:rPr>
        <w:t xml:space="preserve">providers and </w:t>
      </w:r>
      <w:r>
        <w:rPr>
          <w:b/>
          <w:lang w:val="en-US"/>
        </w:rPr>
        <w:t xml:space="preserve">support </w:t>
      </w:r>
      <w:r w:rsidR="00DD595A" w:rsidRPr="00532EAD">
        <w:rPr>
          <w:b/>
          <w:lang w:val="en-US"/>
        </w:rPr>
        <w:t>organizations:</w:t>
      </w:r>
    </w:p>
    <w:p w:rsidR="00DD595A" w:rsidRPr="00FB7AC0" w:rsidRDefault="00FC07AC" w:rsidP="000C145C">
      <w:pPr>
        <w:pStyle w:val="Akapitzlist"/>
        <w:numPr>
          <w:ilvl w:val="0"/>
          <w:numId w:val="10"/>
        </w:numPr>
        <w:tabs>
          <w:tab w:val="left" w:pos="709"/>
        </w:tabs>
        <w:spacing w:line="276" w:lineRule="auto"/>
        <w:ind w:left="709" w:hanging="283"/>
        <w:rPr>
          <w:lang w:val="en-US"/>
        </w:rPr>
      </w:pPr>
      <w:r w:rsidRPr="00FB7AC0">
        <w:rPr>
          <w:lang w:val="en-US"/>
        </w:rPr>
        <w:t>Endorse the</w:t>
      </w:r>
      <w:r w:rsidR="00DD595A" w:rsidRPr="00FB7AC0">
        <w:rPr>
          <w:lang w:val="en-US"/>
        </w:rPr>
        <w:t xml:space="preserve"> CPPs and i</w:t>
      </w:r>
      <w:r w:rsidRPr="00FB7AC0">
        <w:rPr>
          <w:lang w:val="en-US"/>
        </w:rPr>
        <w:t>dentify</w:t>
      </w:r>
      <w:r w:rsidR="00DD595A" w:rsidRPr="00FB7AC0">
        <w:rPr>
          <w:lang w:val="en-US"/>
        </w:rPr>
        <w:t xml:space="preserve"> </w:t>
      </w:r>
      <w:r w:rsidRPr="00FB7AC0">
        <w:rPr>
          <w:lang w:val="en-US"/>
        </w:rPr>
        <w:t xml:space="preserve">their </w:t>
      </w:r>
      <w:r w:rsidR="00DD595A" w:rsidRPr="00FB7AC0">
        <w:rPr>
          <w:lang w:val="en-US"/>
        </w:rPr>
        <w:t xml:space="preserve">role in promoting </w:t>
      </w:r>
      <w:r w:rsidRPr="00FB7AC0">
        <w:rPr>
          <w:lang w:val="en-US"/>
        </w:rPr>
        <w:t xml:space="preserve">the </w:t>
      </w:r>
      <w:r w:rsidR="00DD595A" w:rsidRPr="00FB7AC0">
        <w:rPr>
          <w:lang w:val="en-US"/>
        </w:rPr>
        <w:t xml:space="preserve">CPPs in the sector </w:t>
      </w:r>
      <w:r w:rsidR="00DD595A" w:rsidRPr="00FB7AC0">
        <w:rPr>
          <w:b/>
          <w:bCs/>
          <w:lang w:val="en-US"/>
        </w:rPr>
        <w:t>in 2014 and onwards</w:t>
      </w:r>
    </w:p>
    <w:p w:rsidR="00FB7AC0" w:rsidRPr="00FB7AC0" w:rsidRDefault="00FB7AC0" w:rsidP="000C145C">
      <w:pPr>
        <w:pStyle w:val="Akapitzlist"/>
        <w:numPr>
          <w:ilvl w:val="0"/>
          <w:numId w:val="10"/>
        </w:numPr>
        <w:spacing w:line="276" w:lineRule="auto"/>
        <w:ind w:firstLine="66"/>
        <w:rPr>
          <w:lang w:val="en-US"/>
        </w:rPr>
      </w:pPr>
      <w:r w:rsidRPr="00FB7AC0">
        <w:rPr>
          <w:lang w:val="en-US"/>
        </w:rPr>
        <w:t xml:space="preserve">Develop and share their action plan with the MFC </w:t>
      </w:r>
      <w:r w:rsidRPr="00FB7AC0">
        <w:rPr>
          <w:b/>
          <w:bCs/>
          <w:lang w:val="en-US"/>
        </w:rPr>
        <w:t>by October 2014</w:t>
      </w:r>
    </w:p>
    <w:p w:rsidR="00540238" w:rsidRPr="00FB7AC0" w:rsidRDefault="00FC07AC" w:rsidP="000C145C">
      <w:pPr>
        <w:pStyle w:val="Akapitzlist"/>
        <w:numPr>
          <w:ilvl w:val="0"/>
          <w:numId w:val="10"/>
        </w:numPr>
        <w:spacing w:line="276" w:lineRule="auto"/>
        <w:ind w:left="709" w:hanging="283"/>
        <w:rPr>
          <w:lang w:val="en-US"/>
        </w:rPr>
      </w:pPr>
      <w:r w:rsidRPr="00FB7AC0">
        <w:rPr>
          <w:lang w:val="en-US"/>
        </w:rPr>
        <w:t>Provide</w:t>
      </w:r>
      <w:r w:rsidR="00DD595A" w:rsidRPr="00FB7AC0">
        <w:rPr>
          <w:lang w:val="en-US"/>
        </w:rPr>
        <w:t xml:space="preserve"> non-financial and financial support to help </w:t>
      </w:r>
      <w:r w:rsidRPr="00FB7AC0">
        <w:rPr>
          <w:lang w:val="en-US"/>
        </w:rPr>
        <w:t xml:space="preserve">mainstream the </w:t>
      </w:r>
      <w:r w:rsidR="00DD595A" w:rsidRPr="00FB7AC0">
        <w:rPr>
          <w:lang w:val="en-US"/>
        </w:rPr>
        <w:t xml:space="preserve">CPP in </w:t>
      </w:r>
      <w:r w:rsidRPr="00FB7AC0">
        <w:rPr>
          <w:lang w:val="en-US"/>
        </w:rPr>
        <w:t xml:space="preserve">the European and Central Asian region </w:t>
      </w:r>
      <w:r w:rsidR="00DD595A" w:rsidRPr="00FB7AC0">
        <w:rPr>
          <w:b/>
          <w:bCs/>
          <w:lang w:val="en-US"/>
        </w:rPr>
        <w:t>by 2018</w:t>
      </w:r>
      <w:r w:rsidR="00DD595A" w:rsidRPr="00FB7AC0">
        <w:rPr>
          <w:lang w:val="en-US"/>
        </w:rPr>
        <w:t xml:space="preserve"> (e.g. assist in assessments, provide </w:t>
      </w:r>
      <w:r w:rsidRPr="00FB7AC0">
        <w:rPr>
          <w:lang w:val="en-US"/>
        </w:rPr>
        <w:t>technical support</w:t>
      </w:r>
      <w:r w:rsidR="00DD595A" w:rsidRPr="00FB7AC0">
        <w:rPr>
          <w:lang w:val="en-US"/>
        </w:rPr>
        <w:t xml:space="preserve">, translate tools </w:t>
      </w:r>
      <w:r w:rsidRPr="00FB7AC0">
        <w:rPr>
          <w:lang w:val="en-US"/>
        </w:rPr>
        <w:t>in</w:t>
      </w:r>
      <w:r w:rsidR="00DD595A" w:rsidRPr="00FB7AC0">
        <w:rPr>
          <w:lang w:val="en-US"/>
        </w:rPr>
        <w:t>to local languages)</w:t>
      </w:r>
      <w:r w:rsidRPr="00FB7AC0">
        <w:rPr>
          <w:lang w:val="en-US"/>
        </w:rPr>
        <w:t>.</w:t>
      </w:r>
    </w:p>
    <w:p w:rsidR="00FC07AC" w:rsidRPr="00FC07AC" w:rsidRDefault="00FC07AC" w:rsidP="00FB7AC0">
      <w:pPr>
        <w:pBdr>
          <w:bottom w:val="single" w:sz="4" w:space="1" w:color="auto"/>
        </w:pBdr>
        <w:jc w:val="both"/>
        <w:rPr>
          <w:b/>
          <w:bCs/>
          <w:color w:val="336600"/>
          <w:sz w:val="28"/>
          <w:szCs w:val="28"/>
          <w:lang w:val="en-US"/>
        </w:rPr>
      </w:pPr>
      <w:r>
        <w:rPr>
          <w:b/>
          <w:bCs/>
          <w:color w:val="336600"/>
          <w:sz w:val="28"/>
          <w:szCs w:val="28"/>
          <w:lang w:val="en-US"/>
        </w:rPr>
        <w:t>The role of MFC</w:t>
      </w:r>
    </w:p>
    <w:p w:rsidR="00FC07AC" w:rsidRDefault="00FC07AC" w:rsidP="00FB7AC0">
      <w:pPr>
        <w:jc w:val="both"/>
        <w:rPr>
          <w:lang w:val="en-US"/>
        </w:rPr>
      </w:pPr>
    </w:p>
    <w:p w:rsidR="00FC07AC" w:rsidRPr="00532EAD" w:rsidRDefault="00FC07AC" w:rsidP="00227FD3">
      <w:pPr>
        <w:jc w:val="both"/>
        <w:rPr>
          <w:lang w:val="en-US"/>
        </w:rPr>
      </w:pPr>
      <w:r>
        <w:rPr>
          <w:lang w:val="en-US"/>
        </w:rPr>
        <w:lastRenderedPageBreak/>
        <w:t>The Microfinance Centre is comm</w:t>
      </w:r>
      <w:r w:rsidR="004F71C3">
        <w:rPr>
          <w:lang w:val="en-US"/>
        </w:rPr>
        <w:t>itted to supporting its members to fully mainstream the Client Protection Principles by 2018. As part of this, the MFC will:</w:t>
      </w:r>
    </w:p>
    <w:p w:rsidR="009C54AC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</w:p>
    <w:p w:rsidR="008B4000" w:rsidRPr="00FC07AC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  <w:r>
        <w:rPr>
          <w:lang w:val="en-US"/>
        </w:rPr>
        <w:t xml:space="preserve">Organize annual workshops (in conjunction with the annual conference), bringing members together to review </w:t>
      </w:r>
      <w:r w:rsidR="008B4000" w:rsidRPr="00FC07AC">
        <w:rPr>
          <w:lang w:val="en-US"/>
        </w:rPr>
        <w:t xml:space="preserve">progress </w:t>
      </w:r>
      <w:r>
        <w:rPr>
          <w:lang w:val="en-US"/>
        </w:rPr>
        <w:t xml:space="preserve">and pending challenges for members and the network </w:t>
      </w:r>
      <w:r w:rsidR="008B4000" w:rsidRPr="00FC07AC">
        <w:rPr>
          <w:lang w:val="en-US"/>
        </w:rPr>
        <w:t xml:space="preserve">to reach </w:t>
      </w:r>
      <w:r>
        <w:rPr>
          <w:lang w:val="en-US"/>
        </w:rPr>
        <w:t xml:space="preserve">full CPP </w:t>
      </w:r>
      <w:r w:rsidR="008B4000" w:rsidRPr="00FC07AC">
        <w:rPr>
          <w:lang w:val="en-US"/>
        </w:rPr>
        <w:t>compliance by 2018</w:t>
      </w:r>
    </w:p>
    <w:p w:rsidR="008B4000" w:rsidRPr="00014766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  <w:r w:rsidRPr="00014766">
        <w:rPr>
          <w:lang w:val="en-US"/>
        </w:rPr>
        <w:t>D</w:t>
      </w:r>
      <w:r w:rsidR="008B4000" w:rsidRPr="00014766">
        <w:rPr>
          <w:lang w:val="en-US"/>
        </w:rPr>
        <w:t>evelop a</w:t>
      </w:r>
      <w:r w:rsidR="00014766" w:rsidRPr="00014766">
        <w:rPr>
          <w:lang w:val="en-US"/>
        </w:rPr>
        <w:t>n</w:t>
      </w:r>
      <w:r w:rsidR="008B4000" w:rsidRPr="00014766">
        <w:rPr>
          <w:lang w:val="en-US"/>
        </w:rPr>
        <w:t xml:space="preserve"> </w:t>
      </w:r>
      <w:r w:rsidR="00504D94" w:rsidRPr="00014766">
        <w:rPr>
          <w:lang w:val="en-US"/>
        </w:rPr>
        <w:t xml:space="preserve">action plan </w:t>
      </w:r>
      <w:r w:rsidR="008B4000" w:rsidRPr="00014766">
        <w:rPr>
          <w:lang w:val="en-US"/>
        </w:rPr>
        <w:t xml:space="preserve">for 2015-2018 implementation taking into account the current compliance of the members and their needs to support members in implementation  </w:t>
      </w:r>
    </w:p>
    <w:p w:rsidR="008B4000" w:rsidRPr="00FC07AC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  <w:r>
        <w:rPr>
          <w:lang w:val="en-US"/>
        </w:rPr>
        <w:t>M</w:t>
      </w:r>
      <w:r w:rsidR="008B4000" w:rsidRPr="00FC07AC">
        <w:rPr>
          <w:lang w:val="en-US"/>
        </w:rPr>
        <w:t>onit</w:t>
      </w:r>
      <w:r w:rsidR="009D68E5" w:rsidRPr="00FC07AC">
        <w:rPr>
          <w:lang w:val="en-US"/>
        </w:rPr>
        <w:t xml:space="preserve">or </w:t>
      </w:r>
      <w:r>
        <w:rPr>
          <w:lang w:val="en-US"/>
        </w:rPr>
        <w:t xml:space="preserve">members’ action plan </w:t>
      </w:r>
      <w:r w:rsidR="009D68E5" w:rsidRPr="00FC07AC">
        <w:rPr>
          <w:lang w:val="en-US"/>
        </w:rPr>
        <w:t xml:space="preserve">implementation </w:t>
      </w:r>
      <w:r>
        <w:rPr>
          <w:lang w:val="en-US"/>
        </w:rPr>
        <w:t xml:space="preserve">progress </w:t>
      </w:r>
      <w:r w:rsidR="009D68E5" w:rsidRPr="00FC07AC">
        <w:rPr>
          <w:lang w:val="en-US"/>
        </w:rPr>
        <w:t xml:space="preserve">in order to </w:t>
      </w:r>
      <w:r>
        <w:rPr>
          <w:lang w:val="en-US"/>
        </w:rPr>
        <w:t>provide encouragement, guidance and technical support to overcome barriers</w:t>
      </w:r>
    </w:p>
    <w:p w:rsidR="008B4000" w:rsidRPr="00FC07AC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  <w:r>
        <w:rPr>
          <w:lang w:val="en-US"/>
        </w:rPr>
        <w:t>S</w:t>
      </w:r>
      <w:r w:rsidR="008B4000" w:rsidRPr="00FC07AC">
        <w:rPr>
          <w:lang w:val="en-US"/>
        </w:rPr>
        <w:t xml:space="preserve">upport members in fundraising </w:t>
      </w:r>
      <w:r w:rsidR="00014766">
        <w:rPr>
          <w:lang w:val="en-US"/>
        </w:rPr>
        <w:t xml:space="preserve">to match </w:t>
      </w:r>
      <w:r w:rsidR="008B4000" w:rsidRPr="00FC07AC">
        <w:rPr>
          <w:lang w:val="en-US"/>
        </w:rPr>
        <w:t>co-</w:t>
      </w:r>
      <w:r w:rsidR="00504D94">
        <w:rPr>
          <w:lang w:val="en-US"/>
        </w:rPr>
        <w:t xml:space="preserve">financing </w:t>
      </w:r>
      <w:r w:rsidR="00014766">
        <w:rPr>
          <w:lang w:val="en-US"/>
        </w:rPr>
        <w:t xml:space="preserve">available </w:t>
      </w:r>
      <w:r w:rsidR="008B4000" w:rsidRPr="00FC07AC">
        <w:rPr>
          <w:lang w:val="en-US"/>
        </w:rPr>
        <w:t>for CP assessment</w:t>
      </w:r>
      <w:r w:rsidR="00014766">
        <w:rPr>
          <w:lang w:val="en-US"/>
        </w:rPr>
        <w:t>s</w:t>
      </w:r>
      <w:r w:rsidR="008B4000" w:rsidRPr="00FC07AC">
        <w:rPr>
          <w:lang w:val="en-US"/>
        </w:rPr>
        <w:t xml:space="preserve">, </w:t>
      </w:r>
      <w:r w:rsidR="00014766">
        <w:rPr>
          <w:lang w:val="en-US"/>
        </w:rPr>
        <w:t xml:space="preserve">technical assistance </w:t>
      </w:r>
      <w:r w:rsidR="008B4000" w:rsidRPr="00FC07AC">
        <w:rPr>
          <w:lang w:val="en-US"/>
        </w:rPr>
        <w:t xml:space="preserve">and </w:t>
      </w:r>
      <w:r w:rsidR="00014766">
        <w:rPr>
          <w:lang w:val="en-US"/>
        </w:rPr>
        <w:t>CPP certification</w:t>
      </w:r>
    </w:p>
    <w:p w:rsidR="008B4000" w:rsidRPr="00FC07AC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  <w:r>
        <w:rPr>
          <w:lang w:val="en-US"/>
        </w:rPr>
        <w:t>P</w:t>
      </w:r>
      <w:r w:rsidR="008B4000" w:rsidRPr="00FC07AC">
        <w:rPr>
          <w:lang w:val="en-US"/>
        </w:rPr>
        <w:t xml:space="preserve">romote good practice through publishing case studies, </w:t>
      </w:r>
      <w:r>
        <w:rPr>
          <w:lang w:val="en-US"/>
        </w:rPr>
        <w:t xml:space="preserve">facilitating </w:t>
      </w:r>
      <w:r w:rsidR="008B4000" w:rsidRPr="00FC07AC">
        <w:rPr>
          <w:lang w:val="en-US"/>
        </w:rPr>
        <w:t xml:space="preserve">e-learning </w:t>
      </w:r>
      <w:r>
        <w:rPr>
          <w:lang w:val="en-US"/>
        </w:rPr>
        <w:t xml:space="preserve">events, </w:t>
      </w:r>
      <w:r w:rsidR="008B4000" w:rsidRPr="00FC07AC">
        <w:rPr>
          <w:lang w:val="en-US"/>
        </w:rPr>
        <w:t xml:space="preserve">and </w:t>
      </w:r>
      <w:r>
        <w:rPr>
          <w:lang w:val="en-US"/>
        </w:rPr>
        <w:t xml:space="preserve">holding </w:t>
      </w:r>
      <w:r w:rsidR="008B4000" w:rsidRPr="00FC07AC">
        <w:rPr>
          <w:lang w:val="en-US"/>
        </w:rPr>
        <w:t xml:space="preserve">workshops </w:t>
      </w:r>
      <w:r>
        <w:rPr>
          <w:lang w:val="en-US"/>
        </w:rPr>
        <w:t xml:space="preserve">the </w:t>
      </w:r>
      <w:r w:rsidR="008B4000" w:rsidRPr="00FC07AC">
        <w:rPr>
          <w:lang w:val="en-US"/>
        </w:rPr>
        <w:t xml:space="preserve">annual conference </w:t>
      </w:r>
      <w:r>
        <w:rPr>
          <w:lang w:val="en-US"/>
        </w:rPr>
        <w:t>from 2015</w:t>
      </w:r>
    </w:p>
    <w:p w:rsidR="008B4000" w:rsidRPr="00FC07AC" w:rsidRDefault="009C54AC" w:rsidP="000C145C">
      <w:pPr>
        <w:pStyle w:val="Akapitzlist"/>
        <w:numPr>
          <w:ilvl w:val="0"/>
          <w:numId w:val="6"/>
        </w:numPr>
        <w:spacing w:line="276" w:lineRule="auto"/>
        <w:ind w:hanging="218"/>
        <w:rPr>
          <w:lang w:val="en-US"/>
        </w:rPr>
      </w:pPr>
      <w:r>
        <w:rPr>
          <w:lang w:val="en-US"/>
        </w:rPr>
        <w:t>O</w:t>
      </w:r>
      <w:r w:rsidR="008B4000" w:rsidRPr="00FC07AC">
        <w:rPr>
          <w:lang w:val="en-US"/>
        </w:rPr>
        <w:t xml:space="preserve">ffer </w:t>
      </w:r>
      <w:r>
        <w:rPr>
          <w:lang w:val="en-US"/>
        </w:rPr>
        <w:t xml:space="preserve">members discounted </w:t>
      </w:r>
      <w:r w:rsidR="008B4000" w:rsidRPr="00FC07AC">
        <w:rPr>
          <w:lang w:val="en-US"/>
        </w:rPr>
        <w:t xml:space="preserve">consulting services to help them increase </w:t>
      </w:r>
      <w:r>
        <w:rPr>
          <w:lang w:val="en-US"/>
        </w:rPr>
        <w:t xml:space="preserve">CPP </w:t>
      </w:r>
      <w:r w:rsidR="008B4000" w:rsidRPr="00FC07AC">
        <w:rPr>
          <w:lang w:val="en-US"/>
        </w:rPr>
        <w:t xml:space="preserve">compliance </w:t>
      </w:r>
      <w:r>
        <w:rPr>
          <w:lang w:val="en-US"/>
        </w:rPr>
        <w:t xml:space="preserve">(including </w:t>
      </w:r>
      <w:r w:rsidR="008B4000" w:rsidRPr="00FC07AC">
        <w:rPr>
          <w:lang w:val="en-US"/>
        </w:rPr>
        <w:t xml:space="preserve">assessment, training and </w:t>
      </w:r>
      <w:r>
        <w:rPr>
          <w:lang w:val="en-US"/>
        </w:rPr>
        <w:t xml:space="preserve">technical assistance </w:t>
      </w:r>
      <w:r w:rsidR="008B4000" w:rsidRPr="00FC07AC">
        <w:rPr>
          <w:lang w:val="en-US"/>
        </w:rPr>
        <w:t xml:space="preserve">in </w:t>
      </w:r>
      <w:r>
        <w:rPr>
          <w:lang w:val="en-US"/>
        </w:rPr>
        <w:t>CPP implementation</w:t>
      </w:r>
      <w:r w:rsidR="008B4000" w:rsidRPr="00FC07AC">
        <w:rPr>
          <w:lang w:val="en-US"/>
        </w:rPr>
        <w:t xml:space="preserve">, </w:t>
      </w:r>
      <w:r>
        <w:rPr>
          <w:lang w:val="en-US"/>
        </w:rPr>
        <w:t xml:space="preserve">the Universal Standards for Social Performance Management </w:t>
      </w:r>
      <w:r w:rsidR="008B4000" w:rsidRPr="00FC07AC">
        <w:rPr>
          <w:lang w:val="en-US"/>
        </w:rPr>
        <w:t xml:space="preserve">and </w:t>
      </w:r>
      <w:r>
        <w:rPr>
          <w:lang w:val="en-US"/>
        </w:rPr>
        <w:t xml:space="preserve">the </w:t>
      </w:r>
      <w:r w:rsidR="008B4000" w:rsidRPr="00FC07AC">
        <w:rPr>
          <w:lang w:val="en-US"/>
        </w:rPr>
        <w:t>European Code of Conduct</w:t>
      </w:r>
      <w:r>
        <w:rPr>
          <w:lang w:val="en-US"/>
        </w:rPr>
        <w:t>).</w:t>
      </w:r>
    </w:p>
    <w:p w:rsidR="008B4000" w:rsidRDefault="008B4000" w:rsidP="00FB7AC0">
      <w:pPr>
        <w:spacing w:line="276" w:lineRule="auto"/>
        <w:jc w:val="both"/>
        <w:rPr>
          <w:lang w:val="en-US"/>
        </w:rPr>
      </w:pPr>
    </w:p>
    <w:p w:rsidR="001349FA" w:rsidRPr="00FC07AC" w:rsidRDefault="001349FA" w:rsidP="00FB7AC0">
      <w:pPr>
        <w:pBdr>
          <w:bottom w:val="single" w:sz="4" w:space="1" w:color="auto"/>
        </w:pBdr>
        <w:jc w:val="both"/>
        <w:rPr>
          <w:b/>
          <w:bCs/>
          <w:color w:val="336600"/>
          <w:sz w:val="28"/>
          <w:szCs w:val="28"/>
          <w:lang w:val="en-US"/>
        </w:rPr>
      </w:pPr>
      <w:r>
        <w:rPr>
          <w:b/>
          <w:bCs/>
          <w:color w:val="336600"/>
          <w:sz w:val="28"/>
          <w:szCs w:val="28"/>
          <w:lang w:val="en-US"/>
        </w:rPr>
        <w:t>Signatories</w:t>
      </w:r>
    </w:p>
    <w:p w:rsidR="001349FA" w:rsidRDefault="001349FA" w:rsidP="00FB7AC0">
      <w:pPr>
        <w:jc w:val="both"/>
        <w:rPr>
          <w:lang w:val="en-US"/>
        </w:rPr>
      </w:pPr>
    </w:p>
    <w:p w:rsidR="001349FA" w:rsidRDefault="001349FA" w:rsidP="00FB7AC0">
      <w:pPr>
        <w:jc w:val="both"/>
        <w:rPr>
          <w:lang w:val="en-US"/>
        </w:rPr>
      </w:pPr>
      <w:r>
        <w:rPr>
          <w:lang w:val="en-US"/>
        </w:rPr>
        <w:t>We, the undersigned, commit to promoting and fully implementing the Client Protection Principles as outlined above.</w:t>
      </w:r>
    </w:p>
    <w:p w:rsidR="001349FA" w:rsidRDefault="001349FA" w:rsidP="00FB7AC0">
      <w:pPr>
        <w:jc w:val="both"/>
        <w:rPr>
          <w:lang w:val="en-US"/>
        </w:rPr>
      </w:pPr>
    </w:p>
    <w:p w:rsidR="001349FA" w:rsidRDefault="001349FA" w:rsidP="00FB7AC0">
      <w:pPr>
        <w:jc w:val="both"/>
        <w:rPr>
          <w:lang w:val="en-US"/>
        </w:rPr>
      </w:pPr>
      <w:r>
        <w:rPr>
          <w:lang w:val="en-US"/>
        </w:rPr>
        <w:t>On behalf of the Member: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On behalf of the MFC:</w:t>
      </w:r>
    </w:p>
    <w:p w:rsidR="001349FA" w:rsidRDefault="001349FA" w:rsidP="00FB7AC0">
      <w:pPr>
        <w:jc w:val="both"/>
        <w:rPr>
          <w:lang w:val="en-US"/>
        </w:rPr>
      </w:pPr>
    </w:p>
    <w:p w:rsidR="001349FA" w:rsidRDefault="001349FA" w:rsidP="00FB7AC0">
      <w:pPr>
        <w:jc w:val="both"/>
        <w:rPr>
          <w:lang w:val="en-US"/>
        </w:rPr>
      </w:pPr>
    </w:p>
    <w:p w:rsidR="001349FA" w:rsidRDefault="001349FA" w:rsidP="00FB7AC0">
      <w:pPr>
        <w:jc w:val="both"/>
        <w:rPr>
          <w:lang w:val="en-US"/>
        </w:rPr>
      </w:pPr>
    </w:p>
    <w:p w:rsidR="001349FA" w:rsidRDefault="001349FA" w:rsidP="00FB7AC0">
      <w:pPr>
        <w:jc w:val="both"/>
        <w:rPr>
          <w:lang w:val="en-US"/>
        </w:rPr>
      </w:pPr>
      <w:r>
        <w:rPr>
          <w:lang w:val="en-US"/>
        </w:rPr>
        <w:t>(Signature)</w:t>
      </w:r>
    </w:p>
    <w:p w:rsidR="001349FA" w:rsidRDefault="001349FA" w:rsidP="00FB7AC0">
      <w:pPr>
        <w:jc w:val="both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Grzegorz Galusek</w:t>
      </w:r>
    </w:p>
    <w:p w:rsidR="001349FA" w:rsidRDefault="001349FA" w:rsidP="00FB7AC0">
      <w:pPr>
        <w:jc w:val="both"/>
        <w:rPr>
          <w:lang w:val="en-US"/>
        </w:rPr>
      </w:pPr>
      <w:r>
        <w:rPr>
          <w:lang w:val="en-US"/>
        </w:rPr>
        <w:t>Title: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Executive Director</w:t>
      </w:r>
    </w:p>
    <w:p w:rsidR="001349FA" w:rsidRDefault="001349FA" w:rsidP="00FB7AC0">
      <w:pPr>
        <w:jc w:val="both"/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The Microfinance Centre </w:t>
      </w:r>
    </w:p>
    <w:p w:rsidR="001349FA" w:rsidRPr="00532EAD" w:rsidRDefault="001349FA" w:rsidP="00FB7AC0">
      <w:pPr>
        <w:spacing w:line="276" w:lineRule="auto"/>
        <w:jc w:val="both"/>
        <w:rPr>
          <w:lang w:val="en-US"/>
        </w:rPr>
      </w:pPr>
    </w:p>
    <w:sectPr w:rsidR="001349FA" w:rsidRPr="00532EAD" w:rsidSect="00A33A1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640"/>
    <w:multiLevelType w:val="hybridMultilevel"/>
    <w:tmpl w:val="88E68A06"/>
    <w:lvl w:ilvl="0" w:tplc="670E0E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70BF"/>
    <w:multiLevelType w:val="hybridMultilevel"/>
    <w:tmpl w:val="54E41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A7E25"/>
    <w:multiLevelType w:val="hybridMultilevel"/>
    <w:tmpl w:val="25602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93E1F"/>
    <w:multiLevelType w:val="hybridMultilevel"/>
    <w:tmpl w:val="F9E45BE2"/>
    <w:lvl w:ilvl="0" w:tplc="670E0EB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33D30"/>
    <w:multiLevelType w:val="hybridMultilevel"/>
    <w:tmpl w:val="52BC8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9C153B"/>
    <w:multiLevelType w:val="hybridMultilevel"/>
    <w:tmpl w:val="44E45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556268"/>
    <w:multiLevelType w:val="hybridMultilevel"/>
    <w:tmpl w:val="FD86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F74E7"/>
    <w:multiLevelType w:val="hybridMultilevel"/>
    <w:tmpl w:val="0EEE0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D36484"/>
    <w:multiLevelType w:val="hybridMultilevel"/>
    <w:tmpl w:val="D0E6C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33E9A"/>
    <w:multiLevelType w:val="hybridMultilevel"/>
    <w:tmpl w:val="B272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D595A"/>
    <w:rsid w:val="00014766"/>
    <w:rsid w:val="00041040"/>
    <w:rsid w:val="0004406C"/>
    <w:rsid w:val="000B3BD9"/>
    <w:rsid w:val="000C145C"/>
    <w:rsid w:val="00100727"/>
    <w:rsid w:val="001349FA"/>
    <w:rsid w:val="00136E28"/>
    <w:rsid w:val="00201BF5"/>
    <w:rsid w:val="00205A0C"/>
    <w:rsid w:val="00227FD3"/>
    <w:rsid w:val="00300083"/>
    <w:rsid w:val="00340562"/>
    <w:rsid w:val="00390845"/>
    <w:rsid w:val="003E7326"/>
    <w:rsid w:val="00411BD6"/>
    <w:rsid w:val="004F71C3"/>
    <w:rsid w:val="00504D94"/>
    <w:rsid w:val="0051410A"/>
    <w:rsid w:val="00532EAD"/>
    <w:rsid w:val="00540238"/>
    <w:rsid w:val="005622B5"/>
    <w:rsid w:val="00637C3F"/>
    <w:rsid w:val="006857DF"/>
    <w:rsid w:val="006878DF"/>
    <w:rsid w:val="00713C55"/>
    <w:rsid w:val="00742CEC"/>
    <w:rsid w:val="008330F7"/>
    <w:rsid w:val="008434AF"/>
    <w:rsid w:val="008857AC"/>
    <w:rsid w:val="008B4000"/>
    <w:rsid w:val="008C7B67"/>
    <w:rsid w:val="008E39B4"/>
    <w:rsid w:val="008F09DD"/>
    <w:rsid w:val="009501CE"/>
    <w:rsid w:val="00965690"/>
    <w:rsid w:val="009C54AC"/>
    <w:rsid w:val="009D68E5"/>
    <w:rsid w:val="009F62B1"/>
    <w:rsid w:val="00A04275"/>
    <w:rsid w:val="00A33A15"/>
    <w:rsid w:val="00A37601"/>
    <w:rsid w:val="00AE4CEB"/>
    <w:rsid w:val="00BE000E"/>
    <w:rsid w:val="00C66CF2"/>
    <w:rsid w:val="00CC1757"/>
    <w:rsid w:val="00CE767A"/>
    <w:rsid w:val="00D2439E"/>
    <w:rsid w:val="00D93AF1"/>
    <w:rsid w:val="00DD595A"/>
    <w:rsid w:val="00E47C63"/>
    <w:rsid w:val="00E859A4"/>
    <w:rsid w:val="00ED5FF8"/>
    <w:rsid w:val="00FA363C"/>
    <w:rsid w:val="00FB7AC0"/>
    <w:rsid w:val="00FC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5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95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D59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2B5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2B5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B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5A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5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9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2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2B5"/>
    <w:rPr>
      <w:rFonts w:ascii="Calibri" w:hAnsi="Calibri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2B5"/>
    <w:rPr>
      <w:rFonts w:ascii="Calibri" w:hAnsi="Calibri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2B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34610D-9A1B-455C-8DDA-6CECA0D6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kdabrowska</dc:creator>
  <cp:lastModifiedBy>MY</cp:lastModifiedBy>
  <cp:revision>2</cp:revision>
  <dcterms:created xsi:type="dcterms:W3CDTF">2016-05-19T15:42:00Z</dcterms:created>
  <dcterms:modified xsi:type="dcterms:W3CDTF">2016-05-19T15:42:00Z</dcterms:modified>
</cp:coreProperties>
</file>